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485" w:rsidRDefault="00682485" w:rsidP="00682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S5-20105</w:t>
      </w:r>
      <w:r>
        <w:rPr>
          <w:b/>
          <w:i/>
          <w:noProof/>
          <w:sz w:val="28"/>
        </w:rPr>
        <w:t>9</w:t>
      </w:r>
      <w:bookmarkEnd w:id="0"/>
    </w:p>
    <w:p w:rsidR="00682485" w:rsidRDefault="00682485" w:rsidP="00682485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Hyderabad, India, 24 – 28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682485" w:rsidRDefault="00682485" w:rsidP="0068248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ITU-T SG2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923"/>
      </w:tblGrid>
      <w:tr w:rsidR="00682485" w:rsidRPr="004228AF" w:rsidTr="00682485">
        <w:trPr>
          <w:cantSplit/>
        </w:trPr>
        <w:tc>
          <w:tcPr>
            <w:tcW w:w="9923" w:type="dxa"/>
          </w:tcPr>
          <w:p w:rsidR="00682485" w:rsidRPr="004228AF" w:rsidRDefault="00682485" w:rsidP="0022184C">
            <w:r>
              <w:rPr>
                <w:rFonts w:cs="Arial"/>
                <w:b/>
              </w:rPr>
              <w:t>Title:</w:t>
            </w:r>
            <w:r>
              <w:rPr>
                <w:rFonts w:cs="Arial"/>
                <w:b/>
              </w:rPr>
              <w:tab/>
            </w:r>
            <w:r w:rsidRPr="004228AF">
              <w:t>LS/r on methodology harmonization and REST-based network management framework (reply to 3GPP TSG SA5-S5-197541)</w:t>
            </w:r>
          </w:p>
        </w:tc>
      </w:tr>
    </w:tbl>
    <w:p w:rsidR="00682485" w:rsidRDefault="00682485" w:rsidP="0068248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:rsidR="00682485" w:rsidRDefault="00682485">
      <w:pPr>
        <w:rPr>
          <w:lang w:val="pt-BR" w:eastAsia="zh-CN"/>
        </w:rPr>
      </w:pPr>
      <w:r>
        <w:rPr>
          <w:b/>
        </w:rPr>
        <w:t>Agenda Item:  6.</w:t>
      </w:r>
      <w:r>
        <w:rPr>
          <w:b/>
        </w:rPr>
        <w:t>1</w:t>
      </w:r>
    </w:p>
    <w:p w:rsidR="00682485" w:rsidRDefault="00682485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682485" w:rsidRPr="004228AF" w:rsidTr="0022184C">
        <w:trPr>
          <w:cantSplit/>
        </w:trPr>
        <w:tc>
          <w:tcPr>
            <w:tcW w:w="1191" w:type="dxa"/>
            <w:vMerge w:val="restart"/>
          </w:tcPr>
          <w:p w:rsidR="00682485" w:rsidRPr="004228AF" w:rsidRDefault="00682485" w:rsidP="0022184C">
            <w:pPr>
              <w:rPr>
                <w:sz w:val="20"/>
                <w:szCs w:val="20"/>
              </w:rPr>
            </w:pPr>
            <w:bookmarkStart w:id="1" w:name="dnum" w:colFirst="2" w:colLast="2"/>
            <w:bookmarkStart w:id="2" w:name="dtableau"/>
            <w:r w:rsidRPr="004228AF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94E8D62" wp14:editId="0592CE8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682485" w:rsidRPr="004228AF" w:rsidRDefault="00682485" w:rsidP="0022184C">
            <w:pPr>
              <w:rPr>
                <w:sz w:val="16"/>
                <w:szCs w:val="16"/>
              </w:rPr>
            </w:pPr>
            <w:r w:rsidRPr="004228AF">
              <w:rPr>
                <w:sz w:val="16"/>
                <w:szCs w:val="16"/>
              </w:rPr>
              <w:t>INTERNATIONAL TELECOMMUNICATION UNION</w:t>
            </w:r>
          </w:p>
          <w:p w:rsidR="00682485" w:rsidRPr="004228AF" w:rsidRDefault="00682485" w:rsidP="0022184C">
            <w:pPr>
              <w:rPr>
                <w:b/>
                <w:bCs/>
                <w:sz w:val="26"/>
                <w:szCs w:val="26"/>
              </w:rPr>
            </w:pPr>
            <w:r w:rsidRPr="004228AF">
              <w:rPr>
                <w:b/>
                <w:bCs/>
                <w:sz w:val="26"/>
                <w:szCs w:val="26"/>
              </w:rPr>
              <w:t>TELECOMMUNICATION</w:t>
            </w:r>
            <w:r w:rsidRPr="004228A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82485" w:rsidRPr="004228AF" w:rsidRDefault="00682485" w:rsidP="0022184C">
            <w:pPr>
              <w:rPr>
                <w:sz w:val="20"/>
                <w:szCs w:val="20"/>
              </w:rPr>
            </w:pPr>
            <w:r w:rsidRPr="004228AF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4228AF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682485" w:rsidRPr="004228AF" w:rsidRDefault="00682485" w:rsidP="0022184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SG2-LS133</w:t>
            </w:r>
          </w:p>
        </w:tc>
      </w:tr>
      <w:tr w:rsidR="00682485" w:rsidRPr="004228AF" w:rsidTr="0022184C">
        <w:trPr>
          <w:cantSplit/>
        </w:trPr>
        <w:tc>
          <w:tcPr>
            <w:tcW w:w="1191" w:type="dxa"/>
            <w:vMerge/>
          </w:tcPr>
          <w:p w:rsidR="00682485" w:rsidRPr="004228AF" w:rsidRDefault="00682485" w:rsidP="0022184C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4"/>
            <w:vMerge/>
          </w:tcPr>
          <w:p w:rsidR="00682485" w:rsidRPr="004228AF" w:rsidRDefault="00682485" w:rsidP="0022184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682485" w:rsidRPr="004228AF" w:rsidRDefault="00682485" w:rsidP="0022184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4"/>
      <w:tr w:rsidR="00682485" w:rsidRPr="004228AF" w:rsidTr="0022184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682485" w:rsidRPr="004228AF" w:rsidRDefault="00682485" w:rsidP="0022184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682485" w:rsidRPr="004228AF" w:rsidRDefault="00682485" w:rsidP="0022184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682485" w:rsidRPr="004228AF" w:rsidRDefault="00682485" w:rsidP="0022184C">
            <w:pPr>
              <w:jc w:val="right"/>
              <w:rPr>
                <w:b/>
                <w:bCs/>
                <w:sz w:val="28"/>
                <w:szCs w:val="28"/>
              </w:rPr>
            </w:pPr>
            <w:r w:rsidRPr="004228A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82485" w:rsidRPr="004228AF" w:rsidTr="0022184C">
        <w:trPr>
          <w:cantSplit/>
        </w:trPr>
        <w:tc>
          <w:tcPr>
            <w:tcW w:w="1617" w:type="dxa"/>
            <w:gridSpan w:val="3"/>
          </w:tcPr>
          <w:p w:rsidR="00682485" w:rsidRPr="004228AF" w:rsidRDefault="00682485" w:rsidP="0022184C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4228AF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682485" w:rsidRPr="004228AF" w:rsidRDefault="00682485" w:rsidP="0022184C">
            <w:r w:rsidRPr="004228AF">
              <w:t>7/2</w:t>
            </w:r>
          </w:p>
        </w:tc>
        <w:tc>
          <w:tcPr>
            <w:tcW w:w="4681" w:type="dxa"/>
            <w:gridSpan w:val="2"/>
          </w:tcPr>
          <w:p w:rsidR="00682485" w:rsidRPr="004228AF" w:rsidRDefault="00682485" w:rsidP="0022184C">
            <w:pPr>
              <w:jc w:val="right"/>
            </w:pPr>
          </w:p>
        </w:tc>
      </w:tr>
      <w:tr w:rsidR="00682485" w:rsidRPr="004228AF" w:rsidTr="0022184C">
        <w:trPr>
          <w:cantSplit/>
        </w:trPr>
        <w:tc>
          <w:tcPr>
            <w:tcW w:w="9923" w:type="dxa"/>
            <w:gridSpan w:val="7"/>
          </w:tcPr>
          <w:p w:rsidR="00682485" w:rsidRPr="004228AF" w:rsidRDefault="00682485" w:rsidP="0022184C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>
              <w:rPr>
                <w:b/>
                <w:bCs/>
              </w:rPr>
              <w:t>(</w:t>
            </w:r>
            <w:r w:rsidRPr="004228AF">
              <w:rPr>
                <w:b/>
                <w:bCs/>
              </w:rPr>
              <w:t xml:space="preserve">Ref.: </w:t>
            </w:r>
            <w:hyperlink r:id="rId11" w:history="1">
              <w:r w:rsidRPr="004228AF">
                <w:rPr>
                  <w:rStyle w:val="Hyperlink"/>
                  <w:rFonts w:ascii="Times New Roman" w:hAnsi="Times New Roman"/>
                  <w:b/>
                  <w:bCs/>
                </w:rPr>
                <w:t>SG2-TD936R1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682485" w:rsidRPr="004228AF" w:rsidTr="0022184C">
        <w:trPr>
          <w:cantSplit/>
        </w:trPr>
        <w:tc>
          <w:tcPr>
            <w:tcW w:w="1617" w:type="dxa"/>
            <w:gridSpan w:val="3"/>
          </w:tcPr>
          <w:p w:rsidR="00682485" w:rsidRPr="004228AF" w:rsidRDefault="00682485" w:rsidP="0022184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4228A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82485" w:rsidRPr="004228AF" w:rsidRDefault="00682485" w:rsidP="0022184C">
            <w:r w:rsidRPr="004228AF">
              <w:t>ITU-T Study Group 2</w:t>
            </w:r>
          </w:p>
        </w:tc>
      </w:tr>
      <w:tr w:rsidR="00682485" w:rsidRPr="004228AF" w:rsidTr="0022184C">
        <w:trPr>
          <w:cantSplit/>
        </w:trPr>
        <w:tc>
          <w:tcPr>
            <w:tcW w:w="1617" w:type="dxa"/>
            <w:gridSpan w:val="3"/>
          </w:tcPr>
          <w:p w:rsidR="00682485" w:rsidRPr="004228AF" w:rsidRDefault="00682485" w:rsidP="0022184C">
            <w:bookmarkStart w:id="9" w:name="dtitle1" w:colFirst="1" w:colLast="1"/>
            <w:bookmarkEnd w:id="8"/>
            <w:r w:rsidRPr="004228A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82485" w:rsidRPr="004228AF" w:rsidRDefault="00682485" w:rsidP="0022184C">
            <w:r w:rsidRPr="004228AF">
              <w:t>LS/r on methodology harmonization and REST-based network management framework (reply to 3GPP TSG SA5-S5-197541)</w:t>
            </w:r>
          </w:p>
        </w:tc>
      </w:tr>
      <w:tr w:rsidR="00682485" w:rsidRPr="004228AF" w:rsidTr="0022184C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682485" w:rsidRPr="004228AF" w:rsidRDefault="00682485" w:rsidP="0022184C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4228A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:rsidR="00682485" w:rsidRPr="004228AF" w:rsidRDefault="00682485" w:rsidP="0022184C">
            <w:r w:rsidRPr="004228AF">
              <w:t>Action</w:t>
            </w:r>
          </w:p>
        </w:tc>
      </w:tr>
      <w:bookmarkEnd w:id="2"/>
      <w:bookmarkEnd w:id="10"/>
      <w:tr w:rsidR="00682485" w:rsidTr="0022184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682485" w:rsidRDefault="00682485" w:rsidP="0022184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82485" w:rsidTr="0022184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682485" w:rsidRDefault="00682485" w:rsidP="0022184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682485" w:rsidRDefault="00682485" w:rsidP="0022184C">
            <w:pPr>
              <w:pStyle w:val="LSForAction"/>
              <w:rPr>
                <w:rFonts w:eastAsia="SimSun"/>
                <w:lang w:val="en-US" w:eastAsia="zh-CN"/>
              </w:rPr>
            </w:pPr>
            <w:r>
              <w:t>3GPP TSG-SA5</w:t>
            </w:r>
          </w:p>
        </w:tc>
      </w:tr>
      <w:tr w:rsidR="00682485" w:rsidTr="0022184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682485" w:rsidRDefault="00682485" w:rsidP="0022184C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682485" w:rsidRDefault="00682485" w:rsidP="0022184C">
            <w:pPr>
              <w:pStyle w:val="LSForComment"/>
            </w:pPr>
            <w:r>
              <w:t>-</w:t>
            </w:r>
          </w:p>
        </w:tc>
      </w:tr>
      <w:tr w:rsidR="00682485" w:rsidTr="0022184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682485" w:rsidRDefault="00682485" w:rsidP="0022184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682485" w:rsidRDefault="00682485" w:rsidP="0022184C">
            <w:pPr>
              <w:pStyle w:val="LSForInfo"/>
              <w:rPr>
                <w:rFonts w:eastAsiaTheme="minorEastAsia"/>
                <w:lang w:eastAsia="zh-CN"/>
              </w:rPr>
            </w:pPr>
            <w:r>
              <w:t>-</w:t>
            </w:r>
          </w:p>
        </w:tc>
      </w:tr>
      <w:tr w:rsidR="00682485" w:rsidTr="0022184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682485" w:rsidRDefault="00682485" w:rsidP="0022184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682485" w:rsidRPr="00060236" w:rsidRDefault="00682485" w:rsidP="0022184C">
            <w:r w:rsidRPr="00400489">
              <w:t xml:space="preserve">ITU-T Study Group </w:t>
            </w:r>
            <w:r>
              <w:t>2</w:t>
            </w:r>
            <w:r w:rsidRPr="00400489">
              <w:t xml:space="preserve"> Meeting</w:t>
            </w:r>
            <w:r>
              <w:t xml:space="preserve"> (</w:t>
            </w:r>
            <w:r w:rsidRPr="00400489">
              <w:t xml:space="preserve">Geneva, </w:t>
            </w:r>
            <w:r>
              <w:t>13 December</w:t>
            </w:r>
            <w:r w:rsidRPr="00400489">
              <w:t xml:space="preserve"> 2019</w:t>
            </w:r>
            <w:r>
              <w:t>)</w:t>
            </w:r>
          </w:p>
        </w:tc>
      </w:tr>
      <w:tr w:rsidR="00682485" w:rsidTr="0022184C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682485" w:rsidRDefault="00682485" w:rsidP="0022184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682485" w:rsidRDefault="00682485" w:rsidP="0022184C">
            <w:pPr>
              <w:pStyle w:val="LSDeadline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15 May 2020 </w:t>
            </w:r>
          </w:p>
        </w:tc>
      </w:tr>
      <w:tr w:rsidR="00682485" w:rsidTr="002218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682485" w:rsidRDefault="00682485" w:rsidP="0022184C">
            <w:pPr>
              <w:rPr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682485" w:rsidRDefault="00682485" w:rsidP="0022184C">
            <w:pPr>
              <w:rPr>
                <w:rFonts w:asciiTheme="majorBidi" w:hAnsiTheme="majorBidi" w:cstheme="majorBidi"/>
                <w:kern w:val="2"/>
                <w:lang w:val="en-US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WANG Zhili</w:t>
            </w:r>
          </w:p>
          <w:p w:rsidR="00682485" w:rsidRDefault="00682485" w:rsidP="0022184C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BUPT</w:t>
            </w:r>
          </w:p>
          <w:p w:rsidR="00682485" w:rsidRDefault="00682485" w:rsidP="0022184C">
            <w:pPr>
              <w:spacing w:before="0"/>
              <w:rPr>
                <w:highlight w:val="yellow"/>
                <w:lang w:val="en-US" w:eastAsia="en-GB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682485" w:rsidRDefault="00682485" w:rsidP="0022184C">
            <w:pPr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Tel: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ab/>
              <w:t xml:space="preserve">+86 </w:t>
            </w: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1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0 </w:t>
            </w: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61198090</w:t>
            </w:r>
          </w:p>
          <w:p w:rsidR="00682485" w:rsidRDefault="00682485" w:rsidP="0022184C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</w:rPr>
              <w:t>Email: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 </w:t>
            </w:r>
            <w:hyperlink r:id="rId12" w:history="1">
              <w:r>
                <w:rPr>
                  <w:rStyle w:val="Hyperlink"/>
                  <w:rFonts w:cstheme="majorBidi" w:hint="eastAsia"/>
                  <w:kern w:val="2"/>
                  <w:lang w:val="en-US" w:eastAsia="zh-CN"/>
                </w:rPr>
                <w:t>zlwang@bupt.edu.cn</w:t>
              </w:r>
            </w:hyperlink>
          </w:p>
        </w:tc>
      </w:tr>
      <w:tr w:rsidR="00682485" w:rsidTr="0022184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682485" w:rsidRDefault="00682485" w:rsidP="0022184C">
            <w:pPr>
              <w:rPr>
                <w:b/>
                <w:bCs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682485" w:rsidRDefault="00682485" w:rsidP="0022184C">
            <w:pPr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Mr. Knut Yohannessen</w:t>
            </w:r>
          </w:p>
          <w:p w:rsidR="00682485" w:rsidRDefault="00682485" w:rsidP="0022184C">
            <w:pPr>
              <w:spacing w:before="0"/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Telenor</w:t>
            </w:r>
          </w:p>
          <w:p w:rsidR="00682485" w:rsidRDefault="00682485" w:rsidP="0022184C">
            <w:pPr>
              <w:spacing w:before="0"/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>Norway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682485" w:rsidRDefault="00682485" w:rsidP="0022184C">
            <w:pPr>
              <w:rPr>
                <w:rFonts w:asciiTheme="majorBidi" w:hAnsiTheme="majorBidi" w:cstheme="majorBidi"/>
                <w:kern w:val="2"/>
                <w:lang w:val="en-US" w:eastAsia="zh-CN"/>
              </w:rPr>
            </w:pPr>
            <w:r>
              <w:rPr>
                <w:rFonts w:asciiTheme="majorBidi" w:hAnsiTheme="majorBidi" w:cstheme="majorBidi" w:hint="eastAsia"/>
                <w:kern w:val="2"/>
                <w:lang w:val="en-US" w:eastAsia="zh-CN"/>
              </w:rPr>
              <w:t xml:space="preserve">Email: </w:t>
            </w:r>
            <w:hyperlink r:id="rId13" w:history="1">
              <w:r w:rsidRPr="004228AF">
                <w:rPr>
                  <w:rStyle w:val="Hyperlink"/>
                  <w:rFonts w:hint="eastAsia"/>
                </w:rPr>
                <w:t>Knut.johannessen@telenor.com</w:t>
              </w:r>
            </w:hyperlink>
          </w:p>
          <w:p w:rsidR="00682485" w:rsidRDefault="00682485" w:rsidP="0022184C">
            <w:pPr>
              <w:spacing w:before="0"/>
              <w:rPr>
                <w:rFonts w:asciiTheme="majorBidi" w:hAnsiTheme="majorBidi" w:cstheme="majorBidi"/>
                <w:kern w:val="2"/>
                <w:lang w:val="en-US" w:eastAsia="zh-CN"/>
              </w:rPr>
            </w:pPr>
          </w:p>
        </w:tc>
      </w:tr>
    </w:tbl>
    <w:p w:rsidR="00682485" w:rsidRDefault="00682485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F81908">
        <w:trPr>
          <w:cantSplit/>
        </w:trPr>
        <w:tc>
          <w:tcPr>
            <w:tcW w:w="1641" w:type="dxa"/>
          </w:tcPr>
          <w:p w:rsidR="00F81908" w:rsidRDefault="005E512E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:rsidR="00F81908" w:rsidRDefault="007B2CB7" w:rsidP="006536B9">
            <w:sdt>
              <w:sdtPr>
                <w:rPr>
                  <w:lang w:eastAsia="zh-CN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5E512E">
                  <w:rPr>
                    <w:lang w:eastAsia="zh-CN"/>
                  </w:rPr>
                  <w:t xml:space="preserve">Interface specification methodology, REST </w:t>
                </w:r>
                <w:r w:rsidR="006536B9">
                  <w:rPr>
                    <w:lang w:eastAsia="zh-CN"/>
                  </w:rPr>
                  <w:t>interface, harmonization, SG2.</w:t>
                </w:r>
              </w:sdtContent>
            </w:sdt>
          </w:p>
        </w:tc>
      </w:tr>
      <w:tr w:rsidR="00F81908">
        <w:trPr>
          <w:cantSplit/>
        </w:trPr>
        <w:tc>
          <w:tcPr>
            <w:tcW w:w="1641" w:type="dxa"/>
          </w:tcPr>
          <w:p w:rsidR="00F81908" w:rsidRDefault="005E512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:rsidR="00F81908" w:rsidRDefault="006536B9" w:rsidP="006536B9">
                <w:r w:rsidRPr="006536B9">
                  <w:rPr>
                    <w:rFonts w:hint="eastAsia"/>
                    <w:lang w:eastAsia="zh-CN"/>
                  </w:rPr>
                  <w:t xml:space="preserve">This </w:t>
                </w:r>
                <w:r w:rsidRPr="006536B9">
                  <w:rPr>
                    <w:lang w:eastAsia="zh-CN"/>
                  </w:rPr>
                  <w:t>liaison statement</w:t>
                </w:r>
                <w:r w:rsidRPr="006536B9">
                  <w:rPr>
                    <w:rFonts w:hint="eastAsia"/>
                    <w:lang w:eastAsia="zh-CN"/>
                  </w:rPr>
                  <w:t xml:space="preserve"> </w:t>
                </w:r>
                <w:r>
                  <w:rPr>
                    <w:lang w:eastAsia="zh-CN"/>
                  </w:rPr>
                  <w:t>responds</w:t>
                </w:r>
                <w:r w:rsidRPr="006536B9">
                  <w:rPr>
                    <w:lang w:eastAsia="zh-CN"/>
                  </w:rPr>
                  <w:t xml:space="preserve"> </w:t>
                </w:r>
                <w:r>
                  <w:rPr>
                    <w:lang w:eastAsia="zh-CN"/>
                  </w:rPr>
                  <w:t xml:space="preserve">to </w:t>
                </w:r>
                <w:r w:rsidRPr="006536B9">
                  <w:rPr>
                    <w:lang w:eastAsia="zh-CN"/>
                  </w:rPr>
                  <w:t>3GPP TSG-SA5 on cooperation on methodology harmonization and REST-based network management framework (3GPP TSG SA5-S5-197541).</w:t>
                </w:r>
                <w:r w:rsidRPr="006536B9"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:rsidR="00F81908" w:rsidRDefault="005E512E" w:rsidP="006536B9">
      <w:pPr>
        <w:spacing w:before="240" w:after="120"/>
        <w:rPr>
          <w:lang w:val="en-US" w:eastAsia="en-US"/>
        </w:rPr>
      </w:pPr>
      <w:r>
        <w:t>ITU-T Study Group 2 would like to thank 3GPP TSG-SA5</w:t>
      </w:r>
      <w:r>
        <w:rPr>
          <w:rFonts w:hint="eastAsia"/>
          <w:lang w:val="en-US" w:eastAsia="zh-CN"/>
        </w:rPr>
        <w:t xml:space="preserve"> for the reply to our liaison on </w:t>
      </w:r>
      <w:r>
        <w:rPr>
          <w:lang w:val="en-US" w:eastAsia="en-US"/>
        </w:rPr>
        <w:t>cooperation on methodology harmonization and REST-based network management framework</w:t>
      </w:r>
      <w:r>
        <w:rPr>
          <w:rFonts w:hint="eastAsia"/>
          <w:lang w:val="en-US" w:eastAsia="zh-CN"/>
        </w:rPr>
        <w:t xml:space="preserve"> (</w:t>
      </w:r>
      <w:hyperlink r:id="rId14" w:history="1">
        <w:r>
          <w:rPr>
            <w:rStyle w:val="Hyperlink"/>
          </w:rPr>
          <w:t>3GPP TSG SA5-S5-197541</w:t>
        </w:r>
      </w:hyperlink>
      <w:r>
        <w:rPr>
          <w:rFonts w:hint="eastAsia"/>
          <w:lang w:val="en-US" w:eastAsia="zh-CN"/>
        </w:rPr>
        <w:t>)</w:t>
      </w:r>
      <w:r>
        <w:rPr>
          <w:lang w:val="en-US" w:eastAsia="en-US"/>
        </w:rPr>
        <w:t>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Regarding your responses on 1.1 </w:t>
      </w:r>
      <w:r>
        <w:rPr>
          <w:lang w:val="en-US" w:eastAsia="en-US"/>
        </w:rPr>
        <w:t>Questions and comments on 3GPP TS 32.158 (V15.0.1)</w:t>
      </w:r>
      <w:r>
        <w:rPr>
          <w:rFonts w:hint="eastAsia"/>
          <w:lang w:val="en-US" w:eastAsia="zh-CN"/>
        </w:rPr>
        <w:t xml:space="preserve">, the four answers are clear. We are very glad to </w:t>
      </w:r>
      <w:r w:rsidR="006536B9">
        <w:rPr>
          <w:lang w:val="en-US" w:eastAsia="zh-CN"/>
        </w:rPr>
        <w:t>learn</w:t>
      </w:r>
      <w:r>
        <w:rPr>
          <w:rFonts w:hint="eastAsia"/>
          <w:lang w:val="en-US" w:eastAsia="zh-CN"/>
        </w:rPr>
        <w:t xml:space="preserve"> that you aligned the </w:t>
      </w:r>
      <w:r>
        <w:rPr>
          <w:lang w:val="en-US" w:eastAsia="en-US"/>
        </w:rPr>
        <w:t>URI</w:t>
      </w:r>
      <w:r>
        <w:rPr>
          <w:rFonts w:hint="eastAsia"/>
          <w:lang w:val="en-US" w:eastAsia="zh-CN"/>
        </w:rPr>
        <w:t xml:space="preserve"> format with our approach in 32.158(V15.2.0), and already addressed the </w:t>
      </w:r>
      <w:r>
        <w:rPr>
          <w:lang w:val="en-US" w:eastAsia="en-US"/>
        </w:rPr>
        <w:t>generic object class</w:t>
      </w:r>
      <w:r>
        <w:rPr>
          <w:rFonts w:hint="eastAsia"/>
          <w:lang w:val="en-US" w:eastAsia="zh-CN"/>
        </w:rPr>
        <w:t xml:space="preserve"> and presentation of relationships in </w:t>
      </w:r>
      <w:r>
        <w:rPr>
          <w:lang w:val="en-US" w:eastAsia="en-US"/>
        </w:rPr>
        <w:t>TS 32.160 V16.0.0</w:t>
      </w:r>
      <w:r>
        <w:rPr>
          <w:rFonts w:hint="eastAsia"/>
          <w:lang w:val="en-US" w:eastAsia="zh-CN"/>
        </w:rPr>
        <w:t xml:space="preserve">, also </w:t>
      </w:r>
      <w:r>
        <w:rPr>
          <w:lang w:val="en-US" w:eastAsia="en-US"/>
        </w:rPr>
        <w:t xml:space="preserve">providing </w:t>
      </w:r>
      <w:r w:rsidR="006536B9">
        <w:rPr>
          <w:lang w:val="en-US" w:eastAsia="en-US"/>
        </w:rPr>
        <w:t xml:space="preserve">a </w:t>
      </w:r>
      <w:r>
        <w:rPr>
          <w:lang w:val="en-US" w:eastAsia="en-US"/>
        </w:rPr>
        <w:t>Group accessing method for resou</w:t>
      </w:r>
      <w:r>
        <w:rPr>
          <w:rFonts w:hint="eastAsia"/>
          <w:lang w:val="en-US" w:eastAsia="en-US"/>
        </w:rPr>
        <w:t>rces</w:t>
      </w:r>
      <w:r>
        <w:rPr>
          <w:rFonts w:hint="eastAsia"/>
          <w:lang w:val="en-US" w:eastAsia="zh-CN"/>
        </w:rPr>
        <w:t xml:space="preserve"> in </w:t>
      </w:r>
      <w:r>
        <w:rPr>
          <w:rFonts w:hint="eastAsia"/>
          <w:lang w:val="en-US" w:eastAsia="en-US"/>
        </w:rPr>
        <w:t xml:space="preserve">TS 32.158 </w:t>
      </w:r>
      <w:r>
        <w:rPr>
          <w:rFonts w:hint="eastAsia"/>
          <w:lang w:val="en-US" w:eastAsia="zh-CN"/>
        </w:rPr>
        <w:t>(</w:t>
      </w:r>
      <w:r w:rsidR="006536B9">
        <w:rPr>
          <w:rFonts w:hint="eastAsia"/>
          <w:lang w:val="en-US" w:eastAsia="en-US"/>
        </w:rPr>
        <w:t>S5</w:t>
      </w:r>
      <w:r w:rsidR="006536B9">
        <w:rPr>
          <w:lang w:val="en-US" w:eastAsia="en-US"/>
        </w:rPr>
        <w:noBreakHyphen/>
      </w:r>
      <w:r>
        <w:rPr>
          <w:rFonts w:hint="eastAsia"/>
          <w:lang w:val="en-US" w:eastAsia="en-US"/>
        </w:rPr>
        <w:t>197825</w:t>
      </w:r>
      <w:r>
        <w:rPr>
          <w:rFonts w:hint="eastAsia"/>
          <w:lang w:val="en-US" w:eastAsia="zh-CN"/>
        </w:rPr>
        <w:t>).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Regarding the response to 1.2 Q</w:t>
      </w:r>
      <w:r>
        <w:rPr>
          <w:rFonts w:hint="eastAsia"/>
          <w:lang w:val="en-US" w:eastAsia="en-US"/>
        </w:rPr>
        <w:t>uestions and comments on 3GPP TS 32.160 (V16.2.0)</w:t>
      </w:r>
      <w:r>
        <w:rPr>
          <w:rFonts w:hint="eastAsia"/>
          <w:lang w:val="en-US" w:eastAsia="zh-CN"/>
        </w:rPr>
        <w:t>, we are very pleased to inform you that your responses are very helpful to clarify our questions and concerns.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(1) Regarding the SA5 answer to 1.2.1, t</w:t>
      </w:r>
      <w:r>
        <w:rPr>
          <w:lang w:val="en-US" w:eastAsia="en-US"/>
        </w:rPr>
        <w:t xml:space="preserve">he addition of the clarifications (from 32.160) into the M.3020 </w:t>
      </w:r>
      <w:r>
        <w:rPr>
          <w:rFonts w:hint="eastAsia"/>
          <w:lang w:val="en-US" w:eastAsia="zh-CN"/>
        </w:rPr>
        <w:t>has been added in our work plan</w:t>
      </w:r>
      <w:r>
        <w:rPr>
          <w:lang w:val="en-US" w:eastAsia="en-US"/>
        </w:rPr>
        <w:t>.</w:t>
      </w:r>
      <w:r>
        <w:rPr>
          <w:rFonts w:hint="eastAsia"/>
          <w:lang w:val="en-US" w:eastAsia="zh-CN"/>
        </w:rPr>
        <w:t xml:space="preserve"> </w:t>
      </w:r>
    </w:p>
    <w:p w:rsidR="00F81908" w:rsidRDefault="005E512E">
      <w:pPr>
        <w:spacing w:after="120"/>
        <w:rPr>
          <w:lang w:val="en-US" w:eastAsia="en-US"/>
        </w:rPr>
      </w:pPr>
      <w:r>
        <w:rPr>
          <w:rFonts w:hint="eastAsia"/>
          <w:lang w:val="en-US" w:eastAsia="zh-CN"/>
        </w:rPr>
        <w:t>(2) Regarding the SA5 answer to 1.2.2, SG2</w:t>
      </w:r>
      <w:r>
        <w:rPr>
          <w:lang w:val="en-US" w:eastAsia="en-US"/>
        </w:rPr>
        <w:t xml:space="preserve"> welcome</w:t>
      </w:r>
      <w:r>
        <w:rPr>
          <w:rFonts w:hint="eastAsia"/>
          <w:lang w:val="en-US" w:eastAsia="zh-CN"/>
        </w:rPr>
        <w:t>s</w:t>
      </w:r>
      <w:r>
        <w:rPr>
          <w:lang w:val="en-US" w:eastAsia="en-US"/>
        </w:rPr>
        <w:t xml:space="preserve"> collaboration and suggest</w:t>
      </w:r>
      <w:r w:rsidR="006536B9">
        <w:rPr>
          <w:lang w:val="en-US" w:eastAsia="en-US"/>
        </w:rPr>
        <w:t>s</w:t>
      </w:r>
      <w:r>
        <w:rPr>
          <w:lang w:val="en-US" w:eastAsia="en-US"/>
        </w:rPr>
        <w:t xml:space="preserve"> to focus</w:t>
      </w:r>
      <w:r w:rsidR="006536B9">
        <w:rPr>
          <w:lang w:val="en-US" w:eastAsia="en-US"/>
        </w:rPr>
        <w:t xml:space="preserve"> on</w:t>
      </w:r>
      <w:r>
        <w:rPr>
          <w:lang w:val="en-US" w:eastAsia="en-US"/>
        </w:rPr>
        <w:t xml:space="preserve"> this topic in our next joint meth</w:t>
      </w:r>
      <w:r>
        <w:rPr>
          <w:rFonts w:hint="eastAsia"/>
          <w:lang w:val="en-US" w:eastAsia="zh-CN"/>
        </w:rPr>
        <w:t>o</w:t>
      </w:r>
      <w:r>
        <w:rPr>
          <w:lang w:val="en-US" w:eastAsia="en-US"/>
        </w:rPr>
        <w:t xml:space="preserve">dology </w:t>
      </w:r>
      <w:r>
        <w:rPr>
          <w:rFonts w:hint="eastAsia"/>
          <w:lang w:val="en-US" w:eastAsia="zh-CN"/>
        </w:rPr>
        <w:t xml:space="preserve">harmonization </w:t>
      </w:r>
      <w:r>
        <w:rPr>
          <w:lang w:val="en-US" w:eastAsia="en-US"/>
        </w:rPr>
        <w:t xml:space="preserve">meeting. 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(3) Regarding the </w:t>
      </w:r>
      <w:r>
        <w:rPr>
          <w:lang w:val="en-US" w:eastAsia="en-US"/>
        </w:rPr>
        <w:t>SA5 answer</w:t>
      </w:r>
      <w:r>
        <w:rPr>
          <w:rFonts w:hint="eastAsia"/>
          <w:lang w:val="en-US" w:eastAsia="zh-CN"/>
        </w:rPr>
        <w:t xml:space="preserve"> to 1.2.5</w:t>
      </w:r>
      <w:r>
        <w:rPr>
          <w:lang w:val="en-US" w:eastAsia="en-US"/>
        </w:rPr>
        <w:t>: Mapping guidelines from stage 2 to YANG and from stage 2 to JSON are documented in TS 32.160 (V16.0.0).</w:t>
      </w:r>
      <w:r>
        <w:rPr>
          <w:rFonts w:hint="eastAsia"/>
          <w:lang w:val="en-US" w:eastAsia="zh-CN"/>
        </w:rPr>
        <w:t xml:space="preserve"> We would like to  provide the following feedback to you for your consideration.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The JSON object representing the class instance is preceded by a key equal to the class name.</w:t>
      </w:r>
    </w:p>
    <w:p w:rsidR="00F81908" w:rsidRDefault="005E512E">
      <w:pPr>
        <w:spacing w:after="120"/>
        <w:rPr>
          <w:lang w:val="en-US" w:eastAsia="zh-CN"/>
        </w:rPr>
      </w:pPr>
      <w:r>
        <w:rPr>
          <w:rFonts w:hint="eastAsia"/>
          <w:lang w:val="en-US" w:eastAsia="zh-CN"/>
        </w:rPr>
        <w:t>In the following example</w:t>
      </w:r>
      <w:r w:rsidR="006536B9"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class name is "classA". Attributes are omitted for the sake of simplicity.</w:t>
      </w:r>
    </w:p>
    <w:tbl>
      <w:tblPr>
        <w:tblW w:w="0" w:type="auto"/>
        <w:tblInd w:w="720" w:type="dxa"/>
        <w:tblBorders>
          <w:insideH w:val="outset" w:sz="6" w:space="0" w:color="auto"/>
          <w:insideV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1"/>
        <w:gridCol w:w="3474"/>
      </w:tblGrid>
      <w:tr w:rsidR="00F81908">
        <w:tc>
          <w:tcPr>
            <w:tcW w:w="60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overflowPunct w:val="0"/>
              <w:spacing w:before="0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JSON schema</w:t>
            </w:r>
          </w:p>
        </w:tc>
        <w:tc>
          <w:tcPr>
            <w:tcW w:w="3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overflowPunct w:val="0"/>
              <w:spacing w:before="0"/>
              <w:rPr>
                <w:lang w:val="en-US"/>
              </w:rPr>
            </w:pPr>
            <w:r>
              <w:rPr>
                <w:rFonts w:eastAsia="SimSun"/>
                <w:lang w:val="en-US" w:eastAsia="zh-CN" w:bidi="ar"/>
              </w:rPr>
              <w:t>JSON document example</w:t>
            </w:r>
          </w:p>
        </w:tc>
      </w:tr>
      <w:tr w:rsidR="00F81908">
        <w:tc>
          <w:tcPr>
            <w:tcW w:w="60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 w:hint="eastAsia"/>
                <w:b/>
                <w:color w:val="FF0000"/>
                <w:sz w:val="16"/>
                <w:szCs w:val="16"/>
                <w:lang w:val="en-US" w:eastAsia="zh-CN" w:bidi="ar"/>
              </w:rPr>
              <w:t>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"type": "object",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"properties": 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   "classA":</w:t>
            </w: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 xml:space="preserve"> 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>      "type": "object",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>      "properties": {}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>    }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}</w:t>
            </w:r>
          </w:p>
          <w:p w:rsidR="00F81908" w:rsidRDefault="005E512E">
            <w:pPr>
              <w:overflowPunct w:val="0"/>
              <w:spacing w:before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}</w:t>
            </w:r>
          </w:p>
        </w:tc>
        <w:tc>
          <w:tcPr>
            <w:tcW w:w="3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left w:w="108" w:type="dxa"/>
              <w:right w:w="108" w:type="dxa"/>
            </w:tcMar>
          </w:tcPr>
          <w:p w:rsidR="00F81908" w:rsidRDefault="005E512E">
            <w:pPr>
              <w:spacing w:before="0"/>
              <w:rPr>
                <w:rFonts w:ascii="Courier New" w:hAnsi="Courier New" w:cs="Courier New"/>
                <w:b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{</w:t>
            </w:r>
          </w:p>
          <w:p w:rsidR="00F81908" w:rsidRDefault="005E512E">
            <w:pPr>
              <w:spacing w:before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  "classA":</w:t>
            </w:r>
            <w:r>
              <w:rPr>
                <w:rFonts w:ascii="Courier New" w:eastAsia="SimSun" w:hAnsi="Courier New" w:cs="Courier New"/>
                <w:sz w:val="16"/>
                <w:szCs w:val="16"/>
                <w:lang w:val="en-US" w:eastAsia="zh-CN" w:bidi="ar"/>
              </w:rPr>
              <w:t xml:space="preserve"> {}</w:t>
            </w:r>
          </w:p>
          <w:p w:rsidR="00F81908" w:rsidRDefault="005E512E">
            <w:pPr>
              <w:overflowPunct w:val="0"/>
              <w:spacing w:before="0"/>
              <w:rPr>
                <w:rFonts w:ascii="Courier New" w:hAnsi="Courier New" w:cs="Courier New"/>
                <w:color w:val="FF0000"/>
                <w:sz w:val="16"/>
                <w:szCs w:val="16"/>
                <w:lang w:val="en-US"/>
              </w:rPr>
            </w:pPr>
            <w:r>
              <w:rPr>
                <w:rFonts w:ascii="Courier New" w:eastAsia="SimSun" w:hAnsi="Courier New" w:cs="Courier New"/>
                <w:b/>
                <w:color w:val="FF0000"/>
                <w:sz w:val="16"/>
                <w:szCs w:val="16"/>
                <w:lang w:val="en-US" w:eastAsia="zh-CN" w:bidi="ar"/>
              </w:rPr>
              <w:t>}</w:t>
            </w:r>
          </w:p>
        </w:tc>
      </w:tr>
    </w:tbl>
    <w:p w:rsidR="00F81908" w:rsidRDefault="00F81908">
      <w:pPr>
        <w:spacing w:before="0"/>
        <w:rPr>
          <w:sz w:val="20"/>
          <w:szCs w:val="20"/>
          <w:lang w:val="en-US"/>
        </w:rPr>
      </w:pPr>
    </w:p>
    <w:p w:rsidR="00F81908" w:rsidRDefault="005E512E" w:rsidP="006536B9">
      <w:pPr>
        <w:rPr>
          <w:lang w:val="en-US"/>
        </w:rPr>
      </w:pPr>
      <w:r>
        <w:rPr>
          <w:lang w:val="en-US" w:eastAsia="zh-CN" w:bidi="ar"/>
        </w:rPr>
        <w:t>We assume the definition of classA was one of the definitions and then referenced where relevant. Now it looks like 3GPP has more “inline” specifications and that is a bit unusual.</w:t>
      </w:r>
      <w:r>
        <w:rPr>
          <w:rFonts w:hint="eastAsia"/>
          <w:lang w:val="en-US" w:eastAsia="zh-CN" w:bidi="ar"/>
        </w:rPr>
        <w:t xml:space="preserve"> </w:t>
      </w:r>
      <w:r>
        <w:rPr>
          <w:lang w:val="en-US" w:eastAsia="zh-CN" w:bidi="ar"/>
        </w:rPr>
        <w:t xml:space="preserve">But </w:t>
      </w:r>
      <w:r>
        <w:rPr>
          <w:rFonts w:hint="eastAsia"/>
          <w:lang w:val="en-US" w:eastAsia="zh-CN" w:bidi="ar"/>
        </w:rPr>
        <w:t xml:space="preserve">there </w:t>
      </w:r>
      <w:r>
        <w:rPr>
          <w:lang w:val="en-US" w:eastAsia="zh-CN" w:bidi="ar"/>
        </w:rPr>
        <w:t>could be good reasons for doing it like this.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(</w:t>
      </w:r>
      <w:r>
        <w:rPr>
          <w:rFonts w:eastAsia="SimSun" w:hint="eastAsia"/>
          <w:sz w:val="22"/>
          <w:szCs w:val="22"/>
          <w:lang w:val="en-US" w:eastAsia="zh-CN" w:bidi="ar"/>
        </w:rPr>
        <w:t>YAML</w:t>
      </w:r>
      <w:r>
        <w:rPr>
          <w:rFonts w:eastAsia="SimSun"/>
          <w:sz w:val="22"/>
          <w:szCs w:val="22"/>
          <w:lang w:val="en-US" w:eastAsia="zh-CN" w:bidi="ar"/>
        </w:rPr>
        <w:t xml:space="preserve"> style):</w:t>
      </w:r>
    </w:p>
    <w:p w:rsidR="00F81908" w:rsidRDefault="00F81908">
      <w:pPr>
        <w:spacing w:before="0"/>
        <w:rPr>
          <w:sz w:val="22"/>
          <w:szCs w:val="22"/>
          <w:lang w:val="en-US"/>
        </w:rPr>
      </w:pP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 definitions: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 classA: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 properties: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                 …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 xml:space="preserve">                                classB: 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                 properties: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                 ..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 xml:space="preserve">                                classC: 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 properties:</w:t>
      </w:r>
    </w:p>
    <w:p w:rsidR="00F81908" w:rsidRDefault="005E512E">
      <w:pPr>
        <w:spacing w:before="0"/>
        <w:rPr>
          <w:sz w:val="22"/>
          <w:szCs w:val="22"/>
          <w:lang w:val="en-US"/>
        </w:rPr>
      </w:pPr>
      <w:r>
        <w:rPr>
          <w:rFonts w:eastAsia="SimSun"/>
          <w:sz w:val="22"/>
          <w:szCs w:val="22"/>
          <w:lang w:val="en-US" w:eastAsia="zh-CN" w:bidi="ar"/>
        </w:rPr>
        <w:t>                                                                ..</w:t>
      </w:r>
    </w:p>
    <w:p w:rsidR="00F81908" w:rsidRPr="006536B9" w:rsidRDefault="005E512E" w:rsidP="006536B9">
      <w:pPr>
        <w:rPr>
          <w:lang w:val="en-US" w:eastAsia="zh-CN" w:bidi="ar"/>
        </w:rPr>
      </w:pPr>
      <w:r w:rsidRPr="006536B9">
        <w:rPr>
          <w:rFonts w:hint="eastAsia"/>
          <w:lang w:val="en-US" w:eastAsia="zh-CN" w:bidi="ar"/>
        </w:rPr>
        <w:t xml:space="preserve">We </w:t>
      </w:r>
      <w:r w:rsidR="006536B9" w:rsidRPr="006536B9">
        <w:rPr>
          <w:lang w:val="en-US" w:eastAsia="zh-CN" w:bidi="ar"/>
        </w:rPr>
        <w:t>would appreciate</w:t>
      </w:r>
      <w:r w:rsidRPr="006536B9">
        <w:rPr>
          <w:rFonts w:hint="eastAsia"/>
          <w:lang w:val="en-US" w:eastAsia="zh-CN" w:bidi="ar"/>
        </w:rPr>
        <w:t xml:space="preserve"> if you can provide more explanations and consideration for the mapping.</w:t>
      </w:r>
    </w:p>
    <w:p w:rsidR="00F81908" w:rsidRPr="006536B9" w:rsidRDefault="005E512E" w:rsidP="006536B9">
      <w:pPr>
        <w:rPr>
          <w:rFonts w:eastAsia="SimSun"/>
          <w:lang w:val="en-US" w:eastAsia="zh-CN" w:bidi="ar"/>
        </w:rPr>
      </w:pPr>
      <w:r w:rsidRPr="006536B9">
        <w:rPr>
          <w:rFonts w:eastAsia="SimSun" w:hint="eastAsia"/>
          <w:lang w:val="en-US" w:eastAsia="zh-CN" w:bidi="ar"/>
        </w:rPr>
        <w:t xml:space="preserve">One question was also </w:t>
      </w:r>
      <w:r w:rsidR="006536B9" w:rsidRPr="006536B9">
        <w:rPr>
          <w:rFonts w:eastAsia="SimSun"/>
          <w:lang w:val="en-US" w:eastAsia="zh-CN" w:bidi="ar"/>
        </w:rPr>
        <w:t>raised</w:t>
      </w:r>
      <w:r w:rsidRPr="006536B9">
        <w:rPr>
          <w:rFonts w:eastAsia="SimSun" w:hint="eastAsia"/>
          <w:lang w:val="en-US" w:eastAsia="zh-CN" w:bidi="ar"/>
        </w:rPr>
        <w:t xml:space="preserve"> during the SG2 meeting, which is whether HTTPS should be used for REST-base</w:t>
      </w:r>
      <w:r w:rsidR="006536B9">
        <w:rPr>
          <w:rFonts w:eastAsia="SimSun" w:hint="eastAsia"/>
          <w:lang w:val="en-US" w:eastAsia="zh-CN" w:bidi="ar"/>
        </w:rPr>
        <w:t>d interfaces, which may improve</w:t>
      </w:r>
      <w:r w:rsidRPr="006536B9">
        <w:rPr>
          <w:rFonts w:eastAsia="SimSun" w:hint="eastAsia"/>
          <w:lang w:val="en-US" w:eastAsia="zh-CN" w:bidi="ar"/>
        </w:rPr>
        <w:t xml:space="preserve"> the security of management operations across the REST-based interface. We would also </w:t>
      </w:r>
      <w:r w:rsidR="006536B9">
        <w:rPr>
          <w:rFonts w:eastAsia="SimSun" w:hint="eastAsia"/>
          <w:lang w:val="en-US" w:eastAsia="zh-CN" w:bidi="ar"/>
        </w:rPr>
        <w:t>appreciate</w:t>
      </w:r>
      <w:r w:rsidRPr="006536B9">
        <w:rPr>
          <w:rFonts w:eastAsia="SimSun" w:hint="eastAsia"/>
          <w:lang w:val="en-US" w:eastAsia="zh-CN" w:bidi="ar"/>
        </w:rPr>
        <w:t xml:space="preserve"> if you </w:t>
      </w:r>
      <w:r w:rsidR="006536B9">
        <w:rPr>
          <w:rFonts w:eastAsia="SimSun"/>
          <w:lang w:val="en-US" w:eastAsia="zh-CN" w:bidi="ar"/>
        </w:rPr>
        <w:t>could</w:t>
      </w:r>
      <w:r w:rsidRPr="006536B9">
        <w:rPr>
          <w:rFonts w:eastAsia="SimSun" w:hint="eastAsia"/>
          <w:lang w:val="en-US" w:eastAsia="zh-CN" w:bidi="ar"/>
        </w:rPr>
        <w:t xml:space="preserve"> share with us your opinion on this issue. </w:t>
      </w:r>
    </w:p>
    <w:p w:rsidR="00F81908" w:rsidRPr="006536B9" w:rsidRDefault="005E512E" w:rsidP="006536B9">
      <w:pPr>
        <w:rPr>
          <w:lang w:val="en-US" w:eastAsia="zh-CN"/>
        </w:rPr>
      </w:pPr>
      <w:r w:rsidRPr="006536B9">
        <w:rPr>
          <w:rFonts w:hint="eastAsia"/>
          <w:lang w:val="en-US" w:eastAsia="zh-CN"/>
        </w:rPr>
        <w:t xml:space="preserve">SG2 also updated </w:t>
      </w:r>
      <w:r w:rsidR="006536B9">
        <w:rPr>
          <w:lang w:val="en-US" w:eastAsia="zh-CN"/>
        </w:rPr>
        <w:t>its</w:t>
      </w:r>
      <w:r w:rsidRPr="006536B9">
        <w:rPr>
          <w:rFonts w:hint="eastAsia"/>
          <w:lang w:val="en-US" w:eastAsia="zh-CN"/>
        </w:rPr>
        <w:t xml:space="preserve"> two work items on REST-based management framework, </w:t>
      </w:r>
      <w:hyperlink r:id="rId15" w:history="1">
        <w:r w:rsidRPr="006536B9">
          <w:rPr>
            <w:rStyle w:val="Hyperlink"/>
            <w:rFonts w:hint="eastAsia"/>
            <w:lang w:val="en-US" w:eastAsia="zh-CN"/>
          </w:rPr>
          <w:t xml:space="preserve">X.rest </w:t>
        </w:r>
      </w:hyperlink>
      <w:r w:rsidRPr="006536B9">
        <w:rPr>
          <w:rFonts w:hint="eastAsia"/>
          <w:lang w:val="en-US" w:eastAsia="zh-CN"/>
        </w:rPr>
        <w:t xml:space="preserve">and </w:t>
      </w:r>
      <w:hyperlink r:id="rId16" w:history="1">
        <w:r w:rsidRPr="006536B9">
          <w:rPr>
            <w:rStyle w:val="Hyperlink"/>
            <w:rFonts w:hint="eastAsia"/>
            <w:lang w:val="en-US" w:eastAsia="zh-CN"/>
          </w:rPr>
          <w:t>Q.rest</w:t>
        </w:r>
      </w:hyperlink>
      <w:r w:rsidRPr="006536B9">
        <w:rPr>
          <w:rFonts w:hint="eastAsia"/>
          <w:lang w:val="en-US" w:eastAsia="zh-CN"/>
        </w:rPr>
        <w:t>. We will continue making progress on these two work items in collaboration with 3GPP TSG-SA5.</w:t>
      </w:r>
    </w:p>
    <w:p w:rsidR="00F81908" w:rsidRDefault="005E512E" w:rsidP="006536B9">
      <w:pPr>
        <w:rPr>
          <w:lang w:val="en-US" w:eastAsia="zh-CN"/>
        </w:rPr>
      </w:pPr>
      <w:r w:rsidRPr="006536B9">
        <w:rPr>
          <w:rFonts w:hint="eastAsia"/>
          <w:lang w:val="en-US" w:eastAsia="zh-CN"/>
        </w:rPr>
        <w:lastRenderedPageBreak/>
        <w:t>SG2 is looking forward to cooperating with you on the topic of methodology harmonization in the future.</w:t>
      </w:r>
      <w:r>
        <w:rPr>
          <w:rFonts w:hint="eastAsia"/>
          <w:lang w:val="en-US" w:eastAsia="zh-CN"/>
        </w:rPr>
        <w:t xml:space="preserve"> </w:t>
      </w:r>
    </w:p>
    <w:p w:rsidR="00F81908" w:rsidRDefault="005E512E">
      <w:pPr>
        <w:spacing w:after="120"/>
        <w:jc w:val="center"/>
      </w:pPr>
      <w:r>
        <w:t>_______________________</w:t>
      </w:r>
    </w:p>
    <w:sectPr w:rsidR="00F81908" w:rsidSect="004228AF">
      <w:headerReference w:type="default" r:id="rId17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2CB7" w:rsidRDefault="007B2CB7">
      <w:pPr>
        <w:spacing w:before="0"/>
      </w:pPr>
      <w:r>
        <w:separator/>
      </w:r>
    </w:p>
  </w:endnote>
  <w:endnote w:type="continuationSeparator" w:id="0">
    <w:p w:rsidR="007B2CB7" w:rsidRDefault="007B2C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2CB7" w:rsidRDefault="007B2CB7">
      <w:pPr>
        <w:spacing w:before="0"/>
      </w:pPr>
      <w:r>
        <w:separator/>
      </w:r>
    </w:p>
  </w:footnote>
  <w:footnote w:type="continuationSeparator" w:id="0">
    <w:p w:rsidR="007B2CB7" w:rsidRDefault="007B2CB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1908" w:rsidRPr="004228AF" w:rsidRDefault="004228AF" w:rsidP="004228AF">
    <w:pPr>
      <w:pStyle w:val="Header"/>
      <w:rPr>
        <w:sz w:val="18"/>
      </w:rPr>
    </w:pPr>
    <w:r w:rsidRPr="004228AF">
      <w:rPr>
        <w:sz w:val="18"/>
      </w:rPr>
      <w:t xml:space="preserve">- </w:t>
    </w:r>
    <w:r w:rsidRPr="004228AF">
      <w:rPr>
        <w:sz w:val="18"/>
      </w:rPr>
      <w:fldChar w:fldCharType="begin"/>
    </w:r>
    <w:r w:rsidRPr="004228AF">
      <w:rPr>
        <w:sz w:val="18"/>
      </w:rPr>
      <w:instrText xml:space="preserve"> PAGE  \* MERGEFORMAT </w:instrText>
    </w:r>
    <w:r w:rsidRPr="004228AF">
      <w:rPr>
        <w:sz w:val="18"/>
      </w:rPr>
      <w:fldChar w:fldCharType="separate"/>
    </w:r>
    <w:r w:rsidR="006536B9">
      <w:rPr>
        <w:noProof/>
        <w:sz w:val="18"/>
      </w:rPr>
      <w:t>2</w:t>
    </w:r>
    <w:r w:rsidRPr="004228AF">
      <w:rPr>
        <w:sz w:val="18"/>
      </w:rPr>
      <w:fldChar w:fldCharType="end"/>
    </w:r>
    <w:r w:rsidRPr="004228AF">
      <w:rPr>
        <w:sz w:val="18"/>
      </w:rPr>
      <w:t xml:space="preserve"> -</w:t>
    </w:r>
  </w:p>
  <w:p w:rsidR="004228AF" w:rsidRPr="004228AF" w:rsidRDefault="004228AF" w:rsidP="004228AF">
    <w:pPr>
      <w:pStyle w:val="Header"/>
      <w:spacing w:after="240"/>
      <w:rPr>
        <w:sz w:val="18"/>
      </w:rPr>
    </w:pPr>
    <w:r w:rsidRPr="004228AF">
      <w:rPr>
        <w:sz w:val="18"/>
      </w:rPr>
      <w:fldChar w:fldCharType="begin"/>
    </w:r>
    <w:r w:rsidRPr="004228AF">
      <w:rPr>
        <w:sz w:val="18"/>
      </w:rPr>
      <w:instrText xml:space="preserve"> STYLEREF  Docnumber  </w:instrText>
    </w:r>
    <w:r w:rsidRPr="004228AF">
      <w:rPr>
        <w:sz w:val="18"/>
      </w:rPr>
      <w:fldChar w:fldCharType="separate"/>
    </w:r>
    <w:r w:rsidR="00682485">
      <w:rPr>
        <w:noProof/>
        <w:sz w:val="18"/>
      </w:rPr>
      <w:t>SG2-LS133</w:t>
    </w:r>
    <w:r w:rsidRPr="004228AF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0300"/>
    <w:rsid w:val="000104D6"/>
    <w:rsid w:val="000120AF"/>
    <w:rsid w:val="00014F69"/>
    <w:rsid w:val="000171DB"/>
    <w:rsid w:val="00023D9A"/>
    <w:rsid w:val="0003582E"/>
    <w:rsid w:val="00040346"/>
    <w:rsid w:val="00043D75"/>
    <w:rsid w:val="000561AC"/>
    <w:rsid w:val="00057000"/>
    <w:rsid w:val="00061268"/>
    <w:rsid w:val="000640E0"/>
    <w:rsid w:val="000966A8"/>
    <w:rsid w:val="000A5CA2"/>
    <w:rsid w:val="000C2CF5"/>
    <w:rsid w:val="000C397B"/>
    <w:rsid w:val="000E6125"/>
    <w:rsid w:val="00111A13"/>
    <w:rsid w:val="00113742"/>
    <w:rsid w:val="00113DBE"/>
    <w:rsid w:val="001200A6"/>
    <w:rsid w:val="00124A40"/>
    <w:rsid w:val="001251DA"/>
    <w:rsid w:val="00125432"/>
    <w:rsid w:val="00136DDD"/>
    <w:rsid w:val="00137F40"/>
    <w:rsid w:val="00144BDF"/>
    <w:rsid w:val="0015322B"/>
    <w:rsid w:val="00154492"/>
    <w:rsid w:val="00155DDC"/>
    <w:rsid w:val="00161830"/>
    <w:rsid w:val="00164CDA"/>
    <w:rsid w:val="001871EC"/>
    <w:rsid w:val="001A20C3"/>
    <w:rsid w:val="001A670F"/>
    <w:rsid w:val="001B602B"/>
    <w:rsid w:val="001B6A45"/>
    <w:rsid w:val="001C2014"/>
    <w:rsid w:val="001C62B8"/>
    <w:rsid w:val="001D22D8"/>
    <w:rsid w:val="001D4296"/>
    <w:rsid w:val="001E7B0E"/>
    <w:rsid w:val="001F141D"/>
    <w:rsid w:val="001F4CE1"/>
    <w:rsid w:val="00200A06"/>
    <w:rsid w:val="00200A98"/>
    <w:rsid w:val="00201AFA"/>
    <w:rsid w:val="00204FB4"/>
    <w:rsid w:val="00210A16"/>
    <w:rsid w:val="002229F1"/>
    <w:rsid w:val="0023247D"/>
    <w:rsid w:val="00233F75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97151"/>
    <w:rsid w:val="002A0E9B"/>
    <w:rsid w:val="002A11C4"/>
    <w:rsid w:val="002A399B"/>
    <w:rsid w:val="002A4F48"/>
    <w:rsid w:val="002C26C0"/>
    <w:rsid w:val="002C2BC5"/>
    <w:rsid w:val="002E0407"/>
    <w:rsid w:val="002E301F"/>
    <w:rsid w:val="002E333B"/>
    <w:rsid w:val="002E3C52"/>
    <w:rsid w:val="002E79CB"/>
    <w:rsid w:val="002F7F55"/>
    <w:rsid w:val="0030528E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74E6C"/>
    <w:rsid w:val="00385FB5"/>
    <w:rsid w:val="0038715D"/>
    <w:rsid w:val="00394DBF"/>
    <w:rsid w:val="003957A6"/>
    <w:rsid w:val="003A43EF"/>
    <w:rsid w:val="003C1B3B"/>
    <w:rsid w:val="003C6870"/>
    <w:rsid w:val="003C7445"/>
    <w:rsid w:val="003D19C2"/>
    <w:rsid w:val="003D1D10"/>
    <w:rsid w:val="003E0FD3"/>
    <w:rsid w:val="003E39A2"/>
    <w:rsid w:val="003E57AB"/>
    <w:rsid w:val="003F2BED"/>
    <w:rsid w:val="00400B49"/>
    <w:rsid w:val="0040543F"/>
    <w:rsid w:val="004109A1"/>
    <w:rsid w:val="0042071D"/>
    <w:rsid w:val="004228AF"/>
    <w:rsid w:val="00423950"/>
    <w:rsid w:val="00423F4A"/>
    <w:rsid w:val="00443878"/>
    <w:rsid w:val="004539A8"/>
    <w:rsid w:val="004712CA"/>
    <w:rsid w:val="00473782"/>
    <w:rsid w:val="0047422E"/>
    <w:rsid w:val="0049090D"/>
    <w:rsid w:val="0049284F"/>
    <w:rsid w:val="0049674B"/>
    <w:rsid w:val="004A5D91"/>
    <w:rsid w:val="004B0591"/>
    <w:rsid w:val="004C0673"/>
    <w:rsid w:val="004C4E4E"/>
    <w:rsid w:val="004D3B85"/>
    <w:rsid w:val="004D5CF4"/>
    <w:rsid w:val="004F3816"/>
    <w:rsid w:val="00502C97"/>
    <w:rsid w:val="0050586A"/>
    <w:rsid w:val="005157E6"/>
    <w:rsid w:val="00520DBF"/>
    <w:rsid w:val="00521651"/>
    <w:rsid w:val="0053731C"/>
    <w:rsid w:val="00543D41"/>
    <w:rsid w:val="0054560A"/>
    <w:rsid w:val="00550966"/>
    <w:rsid w:val="00551CFE"/>
    <w:rsid w:val="00553FCC"/>
    <w:rsid w:val="00556A5B"/>
    <w:rsid w:val="00566EDA"/>
    <w:rsid w:val="005674B9"/>
    <w:rsid w:val="0057081A"/>
    <w:rsid w:val="00572654"/>
    <w:rsid w:val="005976A1"/>
    <w:rsid w:val="005A5F8E"/>
    <w:rsid w:val="005B5629"/>
    <w:rsid w:val="005C0300"/>
    <w:rsid w:val="005C27A2"/>
    <w:rsid w:val="005D4FEB"/>
    <w:rsid w:val="005E512E"/>
    <w:rsid w:val="005F4B6A"/>
    <w:rsid w:val="005F57B4"/>
    <w:rsid w:val="005F6864"/>
    <w:rsid w:val="005F7DCE"/>
    <w:rsid w:val="006010F3"/>
    <w:rsid w:val="00615A0A"/>
    <w:rsid w:val="00626673"/>
    <w:rsid w:val="006333D4"/>
    <w:rsid w:val="006369B2"/>
    <w:rsid w:val="0063718D"/>
    <w:rsid w:val="00647525"/>
    <w:rsid w:val="00647A71"/>
    <w:rsid w:val="006536B9"/>
    <w:rsid w:val="0065641D"/>
    <w:rsid w:val="006570B0"/>
    <w:rsid w:val="00657F5E"/>
    <w:rsid w:val="0066022F"/>
    <w:rsid w:val="00663982"/>
    <w:rsid w:val="006710C1"/>
    <w:rsid w:val="006813BC"/>
    <w:rsid w:val="006823F3"/>
    <w:rsid w:val="00682485"/>
    <w:rsid w:val="00682D0B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16A1A"/>
    <w:rsid w:val="00731135"/>
    <w:rsid w:val="007324AF"/>
    <w:rsid w:val="007346C0"/>
    <w:rsid w:val="00735DBA"/>
    <w:rsid w:val="007409B4"/>
    <w:rsid w:val="00741974"/>
    <w:rsid w:val="007531AA"/>
    <w:rsid w:val="0075525E"/>
    <w:rsid w:val="00756D3D"/>
    <w:rsid w:val="007806C2"/>
    <w:rsid w:val="00781882"/>
    <w:rsid w:val="00781FEE"/>
    <w:rsid w:val="007903F8"/>
    <w:rsid w:val="00794F4F"/>
    <w:rsid w:val="007974BE"/>
    <w:rsid w:val="007A0916"/>
    <w:rsid w:val="007A0DFD"/>
    <w:rsid w:val="007A6518"/>
    <w:rsid w:val="007B2CB7"/>
    <w:rsid w:val="007C7122"/>
    <w:rsid w:val="007D3F11"/>
    <w:rsid w:val="007E2C69"/>
    <w:rsid w:val="007E53E4"/>
    <w:rsid w:val="007E656A"/>
    <w:rsid w:val="007E72EC"/>
    <w:rsid w:val="007F3CAA"/>
    <w:rsid w:val="007F664D"/>
    <w:rsid w:val="00802782"/>
    <w:rsid w:val="00802F2D"/>
    <w:rsid w:val="00813A62"/>
    <w:rsid w:val="008338BF"/>
    <w:rsid w:val="00837203"/>
    <w:rsid w:val="00842137"/>
    <w:rsid w:val="00851202"/>
    <w:rsid w:val="0085305E"/>
    <w:rsid w:val="00853F5F"/>
    <w:rsid w:val="008623ED"/>
    <w:rsid w:val="0087149C"/>
    <w:rsid w:val="0087225A"/>
    <w:rsid w:val="00873875"/>
    <w:rsid w:val="00875AA6"/>
    <w:rsid w:val="00880944"/>
    <w:rsid w:val="0089088E"/>
    <w:rsid w:val="00892297"/>
    <w:rsid w:val="008964D6"/>
    <w:rsid w:val="008B2307"/>
    <w:rsid w:val="008B5123"/>
    <w:rsid w:val="008E0172"/>
    <w:rsid w:val="008F546B"/>
    <w:rsid w:val="00914B5D"/>
    <w:rsid w:val="00936852"/>
    <w:rsid w:val="0094045D"/>
    <w:rsid w:val="009406B5"/>
    <w:rsid w:val="00946166"/>
    <w:rsid w:val="0097226C"/>
    <w:rsid w:val="0097530B"/>
    <w:rsid w:val="00983164"/>
    <w:rsid w:val="009972EF"/>
    <w:rsid w:val="009B5035"/>
    <w:rsid w:val="009C121F"/>
    <w:rsid w:val="009C3160"/>
    <w:rsid w:val="009E766E"/>
    <w:rsid w:val="009F1960"/>
    <w:rsid w:val="009F3132"/>
    <w:rsid w:val="009F5A21"/>
    <w:rsid w:val="009F715E"/>
    <w:rsid w:val="00A10DBB"/>
    <w:rsid w:val="00A11720"/>
    <w:rsid w:val="00A14271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B9D"/>
    <w:rsid w:val="00A65893"/>
    <w:rsid w:val="00A67A81"/>
    <w:rsid w:val="00A730A6"/>
    <w:rsid w:val="00A971A0"/>
    <w:rsid w:val="00AA1F22"/>
    <w:rsid w:val="00B05821"/>
    <w:rsid w:val="00B100D6"/>
    <w:rsid w:val="00B164C9"/>
    <w:rsid w:val="00B26C28"/>
    <w:rsid w:val="00B4174C"/>
    <w:rsid w:val="00B44218"/>
    <w:rsid w:val="00B453F5"/>
    <w:rsid w:val="00B53A7D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C37820"/>
    <w:rsid w:val="00C42125"/>
    <w:rsid w:val="00C62814"/>
    <w:rsid w:val="00C67B25"/>
    <w:rsid w:val="00C748F7"/>
    <w:rsid w:val="00C74937"/>
    <w:rsid w:val="00C85F5E"/>
    <w:rsid w:val="00C96AF2"/>
    <w:rsid w:val="00CB2599"/>
    <w:rsid w:val="00CB44FF"/>
    <w:rsid w:val="00CC1AE5"/>
    <w:rsid w:val="00CD2139"/>
    <w:rsid w:val="00CD6848"/>
    <w:rsid w:val="00CD6D09"/>
    <w:rsid w:val="00CE3C59"/>
    <w:rsid w:val="00CE5986"/>
    <w:rsid w:val="00CF7F01"/>
    <w:rsid w:val="00D22C8E"/>
    <w:rsid w:val="00D647EF"/>
    <w:rsid w:val="00D73137"/>
    <w:rsid w:val="00D977A2"/>
    <w:rsid w:val="00DA1D47"/>
    <w:rsid w:val="00DB265C"/>
    <w:rsid w:val="00DB4C5F"/>
    <w:rsid w:val="00DB6688"/>
    <w:rsid w:val="00DC39F3"/>
    <w:rsid w:val="00DD50DE"/>
    <w:rsid w:val="00DE3062"/>
    <w:rsid w:val="00DF21BC"/>
    <w:rsid w:val="00E01D6C"/>
    <w:rsid w:val="00E0581D"/>
    <w:rsid w:val="00E13541"/>
    <w:rsid w:val="00E204DD"/>
    <w:rsid w:val="00E353EC"/>
    <w:rsid w:val="00E51F61"/>
    <w:rsid w:val="00E53C24"/>
    <w:rsid w:val="00E56E77"/>
    <w:rsid w:val="00E67A87"/>
    <w:rsid w:val="00E87795"/>
    <w:rsid w:val="00EB2406"/>
    <w:rsid w:val="00EB2938"/>
    <w:rsid w:val="00EB444D"/>
    <w:rsid w:val="00EB4B15"/>
    <w:rsid w:val="00EC038F"/>
    <w:rsid w:val="00EC22C9"/>
    <w:rsid w:val="00EC7DF3"/>
    <w:rsid w:val="00ED5B66"/>
    <w:rsid w:val="00EE5C0D"/>
    <w:rsid w:val="00EF4792"/>
    <w:rsid w:val="00F001A4"/>
    <w:rsid w:val="00F02294"/>
    <w:rsid w:val="00F30DE7"/>
    <w:rsid w:val="00F35F57"/>
    <w:rsid w:val="00F50467"/>
    <w:rsid w:val="00F562A0"/>
    <w:rsid w:val="00F57FA4"/>
    <w:rsid w:val="00F61EF8"/>
    <w:rsid w:val="00F66927"/>
    <w:rsid w:val="00F752B8"/>
    <w:rsid w:val="00F75853"/>
    <w:rsid w:val="00F75875"/>
    <w:rsid w:val="00F81908"/>
    <w:rsid w:val="00F9254D"/>
    <w:rsid w:val="00F95510"/>
    <w:rsid w:val="00F9734D"/>
    <w:rsid w:val="00FA02CB"/>
    <w:rsid w:val="00FA2177"/>
    <w:rsid w:val="00FB0783"/>
    <w:rsid w:val="00FB7A8B"/>
    <w:rsid w:val="00FC551C"/>
    <w:rsid w:val="00FD439E"/>
    <w:rsid w:val="00FD76CB"/>
    <w:rsid w:val="00FE152B"/>
    <w:rsid w:val="00FE239E"/>
    <w:rsid w:val="00FE6B79"/>
    <w:rsid w:val="00FF4546"/>
    <w:rsid w:val="00FF538F"/>
    <w:rsid w:val="148B7862"/>
    <w:rsid w:val="1FF91407"/>
    <w:rsid w:val="3E8E6BC5"/>
    <w:rsid w:val="409F128E"/>
    <w:rsid w:val="44F03C3A"/>
    <w:rsid w:val="4D884134"/>
    <w:rsid w:val="4DBA7FF6"/>
    <w:rsid w:val="52F50001"/>
    <w:rsid w:val="5420670A"/>
    <w:rsid w:val="71B2278C"/>
    <w:rsid w:val="750C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05E6"/>
  <w15:docId w15:val="{11AEB3A4-9704-4FB0-9B75-A0B38FDD7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rFonts w:ascii="Trebuchet MS" w:hAnsi="Trebuchet MS" w:cs="Trebuchet MS" w:hint="default"/>
      <w:color w:val="0099FF"/>
      <w:u w:val="non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Lucida Console" w:eastAsia="Lucida Console" w:hAnsi="Lucida Console" w:cs="Lucida Console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Lucida Console" w:eastAsia="Lucida Console" w:hAnsi="Lucida Console" w:cs="Lucida Console" w:hint="default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character" w:customStyle="1" w:styleId="emailstyle17">
    <w:name w:val="emailstyle17"/>
    <w:basedOn w:val="DefaultParagraphFont"/>
    <w:qFormat/>
    <w:rPr>
      <w:rFonts w:ascii="Calibri" w:hAnsi="Calibri" w:cs="Calibri" w:hint="default"/>
      <w:color w:val="1F497D"/>
    </w:rPr>
  </w:style>
  <w:style w:type="character" w:customStyle="1" w:styleId="emailstyle18">
    <w:name w:val="emailstyle18"/>
    <w:basedOn w:val="DefaultParagraphFont"/>
    <w:qFormat/>
    <w:rPr>
      <w:rFonts w:ascii="Calibri" w:hAnsi="Calibri" w:cs="Calibri" w:hint="default"/>
      <w:color w:val="1F497D"/>
    </w:rPr>
  </w:style>
  <w:style w:type="paragraph" w:customStyle="1" w:styleId="CRCoverPage">
    <w:name w:val="CR Cover Page"/>
    <w:link w:val="CRCoverPageZchn"/>
    <w:rsid w:val="00682485"/>
    <w:pPr>
      <w:spacing w:after="120" w:line="240" w:lineRule="auto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locked/>
    <w:rsid w:val="00682485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nut.johannason@telenor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lwang@bupt.edu.c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02-C-0219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191204-TD-GEN-0936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17-SG02-C-0218/en" TargetMode="External"/><Relationship Id="rId10" Type="http://schemas.openxmlformats.org/officeDocument/2006/relationships/image" Target="media/image1.gif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ifa/t/2017/ls/3gpptsgsa5/sp16-3gpptsgsa5-iLS-00019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290823" w:rsidRDefault="00290823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290823" w:rsidRDefault="00290823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07F98"/>
    <w:rsid w:val="000277EB"/>
    <w:rsid w:val="00037F0A"/>
    <w:rsid w:val="00050609"/>
    <w:rsid w:val="00061607"/>
    <w:rsid w:val="000E25BB"/>
    <w:rsid w:val="0013281E"/>
    <w:rsid w:val="001A1C4C"/>
    <w:rsid w:val="001B4AE7"/>
    <w:rsid w:val="002507CD"/>
    <w:rsid w:val="00256D54"/>
    <w:rsid w:val="00290823"/>
    <w:rsid w:val="002A0AE4"/>
    <w:rsid w:val="002D5667"/>
    <w:rsid w:val="002D6447"/>
    <w:rsid w:val="002E59BD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C5B62"/>
    <w:rsid w:val="004D3A5B"/>
    <w:rsid w:val="004E2252"/>
    <w:rsid w:val="004F124B"/>
    <w:rsid w:val="00521197"/>
    <w:rsid w:val="0058667C"/>
    <w:rsid w:val="005904E6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86374"/>
    <w:rsid w:val="008D554D"/>
    <w:rsid w:val="00947D8D"/>
    <w:rsid w:val="00950733"/>
    <w:rsid w:val="00992675"/>
    <w:rsid w:val="009A4B03"/>
    <w:rsid w:val="009D0F9B"/>
    <w:rsid w:val="009F2F69"/>
    <w:rsid w:val="00A3586C"/>
    <w:rsid w:val="00A52D2E"/>
    <w:rsid w:val="00A65845"/>
    <w:rsid w:val="00A8359E"/>
    <w:rsid w:val="00AB0F92"/>
    <w:rsid w:val="00AB1603"/>
    <w:rsid w:val="00AD49AA"/>
    <w:rsid w:val="00AF3CAC"/>
    <w:rsid w:val="00B55713"/>
    <w:rsid w:val="00B603E6"/>
    <w:rsid w:val="00BF10DB"/>
    <w:rsid w:val="00BF3BC1"/>
    <w:rsid w:val="00C02C21"/>
    <w:rsid w:val="00C17DC9"/>
    <w:rsid w:val="00C25978"/>
    <w:rsid w:val="00C71F01"/>
    <w:rsid w:val="00C7519D"/>
    <w:rsid w:val="00D13A99"/>
    <w:rsid w:val="00D23681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07DFC"/>
    <w:rsid w:val="00F176CB"/>
    <w:rsid w:val="00F869EF"/>
    <w:rsid w:val="00F940EE"/>
    <w:rsid w:val="00F96566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qFormat/>
    <w:rPr>
      <w:sz w:val="22"/>
      <w:szCs w:val="22"/>
      <w:lang w:val="en-US" w:eastAsia="zh-CN"/>
    </w:rPr>
  </w:style>
  <w:style w:type="paragraph" w:customStyle="1" w:styleId="4943F25BF38C456CB9E4BF9CF14B59A5">
    <w:name w:val="4943F25BF38C456CB9E4BF9CF14B59A5"/>
    <w:qFormat/>
    <w:rPr>
      <w:sz w:val="22"/>
      <w:szCs w:val="22"/>
      <w:lang w:val="en-US" w:eastAsia="zh-CN"/>
    </w:rPr>
  </w:style>
  <w:style w:type="paragraph" w:customStyle="1" w:styleId="11F0B7C57FF448BF88587FE136253F6D">
    <w:name w:val="11F0B7C57FF448BF88587FE136253F6D"/>
    <w:qFormat/>
    <w:rPr>
      <w:sz w:val="22"/>
      <w:szCs w:val="22"/>
      <w:lang w:val="en-US" w:eastAsia="zh-CN"/>
    </w:rPr>
  </w:style>
  <w:style w:type="paragraph" w:customStyle="1" w:styleId="BE35CAB5F528406682BA1E5829CF48D0">
    <w:name w:val="BE35CAB5F528406682BA1E5829CF48D0"/>
    <w:qFormat/>
    <w:rPr>
      <w:sz w:val="22"/>
      <w:szCs w:val="22"/>
      <w:lang w:val="en-US" w:eastAsia="zh-CN"/>
    </w:rPr>
  </w:style>
  <w:style w:type="paragraph" w:customStyle="1" w:styleId="824E3C955CBF4A329B1AA45F443B5F3C">
    <w:name w:val="824E3C955CBF4A329B1AA45F443B5F3C"/>
    <w:qFormat/>
    <w:rPr>
      <w:sz w:val="22"/>
      <w:szCs w:val="22"/>
      <w:lang w:val="en-US" w:eastAsia="zh-CN"/>
    </w:rPr>
  </w:style>
  <w:style w:type="paragraph" w:customStyle="1" w:styleId="642614C8ED9B487A8FB693FB5CBFABE3">
    <w:name w:val="642614C8ED9B487A8FB693FB5CBFABE3"/>
    <w:qFormat/>
    <w:rPr>
      <w:sz w:val="22"/>
      <w:szCs w:val="22"/>
      <w:lang w:val="en-US" w:eastAsia="zh-CN"/>
    </w:rPr>
  </w:style>
  <w:style w:type="paragraph" w:customStyle="1" w:styleId="4878D547FE7D42D49B34F3CF010FA8A0">
    <w:name w:val="4878D547FE7D42D49B34F3CF010FA8A0"/>
    <w:qFormat/>
    <w:rPr>
      <w:sz w:val="22"/>
      <w:szCs w:val="22"/>
      <w:lang w:val="en-US" w:eastAsia="zh-CN"/>
    </w:rPr>
  </w:style>
  <w:style w:type="paragraph" w:customStyle="1" w:styleId="5CBD7EBD69124F0EAED39EC086BEB0EA">
    <w:name w:val="5CBD7EBD69124F0EAED39EC086BEB0EA"/>
    <w:qFormat/>
    <w:rPr>
      <w:sz w:val="22"/>
      <w:szCs w:val="22"/>
      <w:lang w:val="en-US" w:eastAsia="zh-CN"/>
    </w:rPr>
  </w:style>
  <w:style w:type="paragraph" w:customStyle="1" w:styleId="96B519FF3E2B4EB2BE745E1BB58721D6">
    <w:name w:val="96B519FF3E2B4EB2BE745E1BB58721D6"/>
    <w:qFormat/>
    <w:rPr>
      <w:sz w:val="22"/>
      <w:szCs w:val="22"/>
      <w:lang w:val="en-US" w:eastAsia="zh-CN"/>
    </w:rPr>
  </w:style>
  <w:style w:type="paragraph" w:customStyle="1" w:styleId="3A509C36569C4A5988E6985648A56C10">
    <w:name w:val="3A509C36569C4A5988E6985648A56C10"/>
    <w:qFormat/>
    <w:rPr>
      <w:sz w:val="22"/>
      <w:szCs w:val="22"/>
      <w:lang w:val="en-US" w:eastAsia="zh-CN"/>
    </w:rPr>
  </w:style>
  <w:style w:type="paragraph" w:customStyle="1" w:styleId="F8280063D9BA4EBF84E5BF9B600409C3">
    <w:name w:val="F8280063D9BA4EBF84E5BF9B600409C3"/>
    <w:qFormat/>
    <w:rPr>
      <w:sz w:val="22"/>
      <w:szCs w:val="22"/>
      <w:lang w:val="en-US" w:eastAsia="zh-CN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 w:eastAsia="zh-CN"/>
    </w:rPr>
  </w:style>
  <w:style w:type="paragraph" w:customStyle="1" w:styleId="64DFC1CBD3A74F9C9381668A7C68E353">
    <w:name w:val="64DFC1CBD3A74F9C9381668A7C68E353"/>
    <w:qFormat/>
    <w:rPr>
      <w:sz w:val="22"/>
      <w:szCs w:val="22"/>
      <w:lang w:val="en-US" w:eastAsia="zh-CN"/>
    </w:rPr>
  </w:style>
  <w:style w:type="paragraph" w:customStyle="1" w:styleId="0747E8C3C0B94E57A2B87F941A299AA0">
    <w:name w:val="0747E8C3C0B94E57A2B87F941A299AA0"/>
    <w:qFormat/>
    <w:rPr>
      <w:sz w:val="22"/>
      <w:szCs w:val="22"/>
      <w:lang w:val="en-US" w:eastAsia="zh-CN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 w:eastAsia="zh-CN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 w:eastAsia="zh-CN"/>
    </w:rPr>
  </w:style>
  <w:style w:type="paragraph" w:customStyle="1" w:styleId="FF87911AB77F46B38FB4A4BBCDA7012B">
    <w:name w:val="FF87911AB77F46B38FB4A4BBCDA7012B"/>
    <w:qFormat/>
    <w:rPr>
      <w:sz w:val="22"/>
      <w:szCs w:val="22"/>
      <w:lang w:val="en-US" w:eastAsia="zh-CN"/>
    </w:rPr>
  </w:style>
  <w:style w:type="paragraph" w:customStyle="1" w:styleId="4B7260A74F4F4428946F2C86B7FC40A3">
    <w:name w:val="4B7260A74F4F4428946F2C86B7FC40A3"/>
    <w:qFormat/>
    <w:rPr>
      <w:sz w:val="22"/>
      <w:szCs w:val="22"/>
      <w:lang w:val="en-US" w:eastAsia="zh-CN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 w:eastAsia="zh-CN"/>
    </w:rPr>
  </w:style>
  <w:style w:type="paragraph" w:customStyle="1" w:styleId="55B86056AFCD46E79057E2F6D2BD74CA">
    <w:name w:val="55B86056AFCD46E79057E2F6D2BD74CA"/>
    <w:qFormat/>
    <w:rPr>
      <w:sz w:val="22"/>
      <w:szCs w:val="22"/>
      <w:lang w:val="en-US" w:eastAsia="zh-CN"/>
    </w:rPr>
  </w:style>
  <w:style w:type="paragraph" w:customStyle="1" w:styleId="7CD813BF60154F87B6A958AF36422EB9">
    <w:name w:val="7CD813BF60154F87B6A958AF36422EB9"/>
    <w:qFormat/>
    <w:rPr>
      <w:sz w:val="22"/>
      <w:szCs w:val="22"/>
      <w:lang w:val="en-US" w:eastAsia="zh-CN"/>
    </w:rPr>
  </w:style>
  <w:style w:type="paragraph" w:customStyle="1" w:styleId="CB349864D24C4748AA73864A3D73AEC4">
    <w:name w:val="CB349864D24C4748AA73864A3D73AEC4"/>
    <w:qFormat/>
    <w:rPr>
      <w:sz w:val="22"/>
      <w:szCs w:val="22"/>
      <w:lang w:val="en-US" w:eastAsia="zh-CN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qFormat/>
    <w:rPr>
      <w:sz w:val="22"/>
      <w:szCs w:val="22"/>
      <w:lang w:val="en-US" w:eastAsia="zh-CN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 w:eastAsia="zh-CN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 w:eastAsia="zh-CN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 w:eastAsia="zh-CN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 w:eastAsia="zh-CN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 w:eastAsia="zh-CN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 w:eastAsia="zh-CN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 w:eastAsia="zh-CN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 w:eastAsia="zh-CN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 w:eastAsia="zh-CN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 w:eastAsia="zh-CN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 w:eastAsia="zh-CN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 w:eastAsia="zh-CN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 w:eastAsia="zh-CN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 w:eastAsia="zh-CN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 w:eastAsia="zh-CN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 w:eastAsia="zh-CN"/>
    </w:rPr>
  </w:style>
  <w:style w:type="paragraph" w:customStyle="1" w:styleId="9CD8DEA6139347E38CA28E2838EF54D0">
    <w:name w:val="9CD8DEA6139347E38CA28E2838EF54D0"/>
    <w:qFormat/>
    <w:rPr>
      <w:sz w:val="22"/>
      <w:szCs w:val="22"/>
      <w:lang w:val="en-US" w:eastAsia="zh-CN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 w:eastAsia="zh-CN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 w:eastAsia="zh-CN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 w:eastAsia="zh-CN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 w:eastAsia="zh-CN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 w:eastAsia="zh-CN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 w:eastAsia="zh-CN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 w:eastAsia="zh-CN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 w:eastAsia="zh-CN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 w:eastAsia="zh-CN"/>
    </w:rPr>
  </w:style>
  <w:style w:type="paragraph" w:customStyle="1" w:styleId="A3140D4E8F114BF1904A082A87F83A0A">
    <w:name w:val="A3140D4E8F114BF1904A082A87F83A0A"/>
    <w:qFormat/>
    <w:rPr>
      <w:sz w:val="22"/>
      <w:szCs w:val="22"/>
      <w:lang w:val="en-US" w:eastAsia="zh-CN"/>
    </w:rPr>
  </w:style>
  <w:style w:type="paragraph" w:customStyle="1" w:styleId="66F81134344D4EFCB1DF853DA5B635A4">
    <w:name w:val="66F81134344D4EFCB1DF853DA5B635A4"/>
    <w:qFormat/>
    <w:rPr>
      <w:sz w:val="22"/>
      <w:szCs w:val="22"/>
      <w:lang w:val="en-US" w:eastAsia="zh-CN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 w:eastAsia="zh-CN"/>
    </w:rPr>
  </w:style>
  <w:style w:type="paragraph" w:customStyle="1" w:styleId="6256751337E64E7698B75368C82A5E64">
    <w:name w:val="6256751337E64E7698B75368C82A5E64"/>
    <w:qFormat/>
    <w:rPr>
      <w:sz w:val="22"/>
      <w:szCs w:val="22"/>
      <w:lang w:val="en-US" w:eastAsia="zh-CN"/>
    </w:rPr>
  </w:style>
  <w:style w:type="paragraph" w:customStyle="1" w:styleId="0A6255EA1C634C1CB008A6A18DDDD7F1">
    <w:name w:val="0A6255EA1C634C1CB008A6A18DDDD7F1"/>
    <w:qFormat/>
    <w:rPr>
      <w:sz w:val="22"/>
      <w:szCs w:val="22"/>
      <w:lang w:val="en-US" w:eastAsia="zh-CN"/>
    </w:rPr>
  </w:style>
  <w:style w:type="paragraph" w:customStyle="1" w:styleId="A19AE8AD5DAE456ABAA10654BCEAA342">
    <w:name w:val="A19AE8AD5DAE456ABAA10654BCEAA342"/>
    <w:qFormat/>
    <w:rPr>
      <w:sz w:val="22"/>
      <w:szCs w:val="22"/>
      <w:lang w:val="en-US" w:eastAsia="zh-CN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 w:eastAsia="zh-CN"/>
    </w:rPr>
  </w:style>
  <w:style w:type="paragraph" w:customStyle="1" w:styleId="60698785955F439AAF7E22E4AECDB822">
    <w:name w:val="60698785955F439AAF7E22E4AECDB822"/>
    <w:qFormat/>
    <w:rPr>
      <w:sz w:val="22"/>
      <w:szCs w:val="22"/>
      <w:lang w:val="en-US" w:eastAsia="zh-CN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DE031ACE0EB4A9D8D5FD7ACA6068A8F">
    <w:name w:val="CDE031ACE0EB4A9D8D5FD7ACA6068A8F"/>
    <w:qFormat/>
    <w:pPr>
      <w:widowControl w:val="0"/>
      <w:spacing w:after="0" w:line="240" w:lineRule="auto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liaison statement responds to 3GPP TSG-SA5 on cooperation on methodology harmonization and REST-based network management framework (3GPP TSG SA5-S5-197541)..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methodology harmonization and REST-based network management framework (reply to 3GPP TSG SA5-S5-197541)</vt:lpstr>
    </vt:vector>
  </TitlesOfParts>
  <Manager>ITU-T</Manager>
  <Company>International Telecommunication Union (ITU)</Company>
  <LinksUpToDate>false</LinksUpToDate>
  <CharactersWithSpaces>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methodology harmonization and REST-based network management framework (reply to 3GPP TSG SA5-S5-197541)</dc:title>
  <dc:creator>ITU-T Study Group 2</dc:creator>
  <cp:keywords>Interface specification methodology, REST interface, harmonization, SG2.</cp:keywords>
  <dc:description>SG2-LS133  For: Geneva, 4-13 December 2019_x000d_Document date: _x000d_Saved by ITU51013186 at 11:09:57 on 17/12/2019</dc:description>
  <cp:lastModifiedBy>32601_CR0007_TEI15_(Rel-15)</cp:lastModifiedBy>
  <cp:revision>2</cp:revision>
  <cp:lastPrinted>2019-05-20T08:48:00Z</cp:lastPrinted>
  <dcterms:created xsi:type="dcterms:W3CDTF">2020-01-23T10:21:00Z</dcterms:created>
  <dcterms:modified xsi:type="dcterms:W3CDTF">2020-01-23T10:21:00Z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SG2-LS133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7/2</vt:lpwstr>
  </property>
  <property fmtid="{D5CDD505-2E9C-101B-9397-08002B2CF9AE}" pid="6" name="Docdest">
    <vt:lpwstr>Geneva, 4-13 December 2019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2052-11.1.0.9305</vt:lpwstr>
  </property>
</Properties>
</file>